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bmp" ContentType="image/bmp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030085" cy="12592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57"/>
        <w:gridCol w:w="8014"/>
      </w:tblGrid>
      <w:tr>
        <w:trPr/>
        <w:tc>
          <w:tcPr>
            <w:tcW w:w="3057" w:type="dxa"/>
            <w:tcBorders/>
          </w:tcPr>
          <w:p>
            <w:pPr>
              <w:pStyle w:val="Style20"/>
              <w:rPr>
                <w:lang w:val="ru-RU"/>
              </w:rPr>
            </w:pPr>
            <w:r>
              <w:rPr>
                <w:lang w:val="ru-RU"/>
              </w:rPr>
              <w:t xml:space="preserve">№ </w:t>
            </w:r>
            <w:r>
              <w:rPr>
                <w:lang w:val="ru-RU"/>
              </w:rPr>
              <w:t>ППСР3  от 03.</w:t>
            </w:r>
            <w:r>
              <w:rPr>
                <w:lang w:val="en-US"/>
              </w:rPr>
              <w:t>03</w:t>
            </w:r>
            <w:r>
              <w:rPr>
                <w:lang w:val="ru-RU"/>
              </w:rPr>
              <w:t>.202</w:t>
            </w:r>
            <w:r>
              <w:rPr>
                <w:lang w:val="en-US"/>
              </w:rPr>
              <w:t>6</w:t>
            </w:r>
            <w:r>
              <w:rPr>
                <w:lang w:val="ru-RU"/>
              </w:rPr>
              <w:t xml:space="preserve"> г.</w:t>
            </w:r>
          </w:p>
        </w:tc>
        <w:tc>
          <w:tcPr>
            <w:tcW w:w="8014" w:type="dxa"/>
            <w:tcBorders/>
          </w:tcPr>
          <w:p>
            <w:pPr>
              <w:pStyle w:val="Style20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Cs/>
          <w:lang w:val="ru-RU"/>
        </w:rPr>
      </w:pPr>
      <w:r>
        <w:rPr>
          <w:b/>
          <w:bCs/>
          <w:lang w:val="ru-RU"/>
        </w:rPr>
        <w:t>=================================================================================</w:t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  <w:lang w:val="ru-RU"/>
        </w:rPr>
        <w:t xml:space="preserve">                                                                                </w:t>
      </w:r>
    </w:p>
    <w:tbl>
      <w:tblPr>
        <w:tblW w:w="10692" w:type="dxa"/>
        <w:jc w:val="start"/>
        <w:tblInd w:w="36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692"/>
      </w:tblGrid>
      <w:tr>
        <w:trPr/>
        <w:tc>
          <w:tcPr>
            <w:tcW w:w="10692" w:type="dxa"/>
            <w:tcBorders/>
            <w:shd w:fill="FF972F" w:val="clear"/>
            <w:vAlign w:val="bottom"/>
          </w:tcPr>
          <w:p>
            <w:pPr>
              <w:pStyle w:val="BodyText"/>
              <w:spacing w:lineRule="auto" w:line="240" w:before="57" w:after="5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30"/>
                <w:szCs w:val="30"/>
                <w:u w:val="none"/>
                <w:lang w:val="ru-RU"/>
              </w:rPr>
              <w:t>Коммерческое предложение</w:t>
            </w:r>
          </w:p>
        </w:tc>
      </w:tr>
    </w:tbl>
    <w:p>
      <w:pPr>
        <w:pStyle w:val="Normal"/>
        <w:jc w:val="end"/>
        <w:rPr>
          <w:rFonts w:ascii="Arial" w:hAnsi="Arial"/>
          <w:b/>
          <w:bCs/>
          <w:sz w:val="28"/>
          <w:szCs w:val="28"/>
          <w:lang w:val="ru-RU"/>
        </w:rPr>
      </w:pPr>
      <w:r>
        <w:rPr>
          <w:rFonts w:ascii="Arial" w:hAnsi="Arial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  <w:b/>
          <w:bCs/>
          <w:sz w:val="36"/>
          <w:szCs w:val="36"/>
          <w:lang w:val="ru-RU"/>
        </w:rPr>
        <w:t>Люлька подъемная стальная разборная ЛПСр-2/350</w:t>
      </w:r>
    </w:p>
    <w:p>
      <w:pPr>
        <w:pStyle w:val="Normal"/>
        <w:jc w:val="end"/>
        <w:rPr/>
      </w:pPr>
      <w:r>
        <w:rPr>
          <w:rFonts w:ascii="Arial" w:hAnsi="Arial"/>
          <w:b/>
          <w:bCs/>
          <w:sz w:val="28"/>
          <w:szCs w:val="28"/>
          <w:lang w:val="ru-RU"/>
        </w:rPr>
        <w:t xml:space="preserve">                                    </w:t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ascii="Arial" w:hAnsi="Arial"/>
          <w:b/>
          <w:bCs/>
          <w:color w:val="000000"/>
          <w:sz w:val="30"/>
          <w:szCs w:val="30"/>
        </w:rPr>
        <w:t xml:space="preserve"> </w:t>
      </w:r>
      <w:r>
        <w:rPr>
          <w:rStyle w:val="Emphasis"/>
          <w:rFonts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071"/>
      </w:tblGrid>
      <w:tr>
        <w:trPr/>
        <w:tc>
          <w:tcPr>
            <w:tcW w:w="11071" w:type="dxa"/>
            <w:tcBorders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true"/>
              <w:overflowPunct w:val="true"/>
              <w:bidi w:val="0"/>
              <w:spacing w:lineRule="auto" w:line="360" w:before="0" w:after="0"/>
              <w:ind w:hanging="0" w:start="720"/>
              <w:jc w:val="both"/>
              <w:rPr>
                <w:rFonts w:eastAsia="Andale Sans UI" w:cs="Tahoma"/>
                <w:b w:val="false"/>
                <w:bCs w:val="false"/>
                <w:color w:val="auto"/>
                <w:kern w:val="2"/>
                <w:sz w:val="20"/>
                <w:szCs w:val="20"/>
                <w:u w:val="none"/>
                <w:lang w:val="ru-RU" w:eastAsia="zxx" w:bidi="zxx"/>
              </w:rPr>
            </w:pPr>
            <w:r>
              <w:rPr>
                <w:rFonts w:eastAsia="Andale Sans UI" w:cs="Tahoma"/>
                <w:b w:val="false"/>
                <w:bCs w:val="false"/>
                <w:color w:val="auto"/>
                <w:kern w:val="2"/>
                <w:sz w:val="20"/>
                <w:szCs w:val="20"/>
                <w:u w:val="none"/>
                <w:lang w:val="ru-RU" w:eastAsia="zxx" w:bidi="zxx"/>
              </w:rPr>
              <w:drawing>
                <wp:anchor distT="0" distB="0" distL="0" distR="0" simplePos="0" relativeHeight="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718560" cy="4905375"/>
                  <wp:effectExtent l="0" t="0" r="0" b="0"/>
                  <wp:wrapTopAndBottom/>
                  <wp:docPr id="2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560" cy="490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11071" w:type="dxa"/>
            <w:tcBorders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true"/>
              <w:overflowPunct w:val="true"/>
              <w:bidi w:val="0"/>
              <w:spacing w:lineRule="auto" w:line="240" w:before="0" w:after="0"/>
              <w:ind w:hanging="0" w:start="720"/>
              <w:jc w:val="both"/>
              <w:rPr>
                <w:b w:val="false"/>
                <w:bCs w:val="false"/>
                <w:u w:val="none"/>
                <w:lang w:val="ru-RU"/>
              </w:rPr>
            </w:pPr>
            <w:r>
              <w:rPr>
                <w:b w:val="false"/>
                <w:bCs w:val="false"/>
                <w:u w:val="none"/>
                <w:lang w:val="ru-RU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340" w:start="454" w:end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 w:val="false"/>
                <w:bCs w:val="false"/>
                <w:sz w:val="28"/>
                <w:szCs w:val="28"/>
                <w:u w:val="none"/>
                <w:lang w:val="ru-RU"/>
              </w:rPr>
              <w:t>Люлька ЛПСР (аналог алюминевой люльки ЛПА) изготовлена из стальных профильных труб и имеет крышу над рабочей площадкой. П</w:t>
            </w:r>
            <w:r>
              <w:rPr>
                <w:rFonts w:eastAsia="Times New Roman" w:ascii="Arial" w:hAnsi="Arial"/>
                <w:b w:val="false"/>
                <w:bCs w:val="false"/>
                <w:color w:val="000000"/>
                <w:sz w:val="28"/>
                <w:szCs w:val="28"/>
                <w:u w:val="none"/>
                <w:lang w:val="ru-RU" w:eastAsia="ru-RU"/>
              </w:rPr>
              <w:t xml:space="preserve">рименяется при производстве общестроительных работ, а также  обеспечения сварочных и монтажных работ на высоте. </w:t>
            </w:r>
            <w:r>
              <w:rPr>
                <w:rFonts w:eastAsia="Times New Roman" w:ascii="Arial" w:hAnsi="Arial"/>
                <w:b/>
                <w:bCs w:val="false"/>
                <w:i w:val="false"/>
                <w:caps w:val="false"/>
                <w:smallCaps w:val="false"/>
                <w:color w:val="1B0D0E"/>
                <w:spacing w:val="0"/>
                <w:sz w:val="28"/>
                <w:szCs w:val="28"/>
                <w:u w:val="none"/>
                <w:lang w:val="ru-RU" w:eastAsia="ru-RU"/>
              </w:rPr>
              <w:t>ГОСТ 33168-2014 «Краны грузоподъемные. Оборудование для подъема людей. Требования безопасности»</w:t>
            </w:r>
            <w:r>
              <w:rPr>
                <w:rFonts w:eastAsia="Andale Sans UI" w:cs="Tahoma" w:ascii="Arial" w:hAnsi="Arial"/>
                <w:b w:val="false"/>
                <w:bCs w:val="false"/>
                <w:color w:val="auto"/>
                <w:kern w:val="2"/>
                <w:sz w:val="28"/>
                <w:szCs w:val="28"/>
                <w:u w:val="none"/>
                <w:lang w:val="ru-RU" w:eastAsia="zxx" w:bidi="zxx"/>
              </w:rPr>
              <w:t xml:space="preserve">. </w:t>
            </w:r>
          </w:p>
          <w:p>
            <w:pPr>
              <w:pStyle w:val="BodyText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340" w:start="454" w:end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eastAsia="Times New Roman" w:ascii="Arial" w:hAnsi="Arial"/>
                <w:b w:val="false"/>
                <w:bCs w:val="false"/>
                <w:color w:val="000000"/>
                <w:sz w:val="28"/>
                <w:szCs w:val="28"/>
                <w:lang w:val="ru-RU" w:eastAsia="ru-RU"/>
              </w:rPr>
              <w:t xml:space="preserve">Для удобства транспортировки, люлька имеет </w:t>
            </w:r>
            <w:r>
              <w:rPr>
                <w:rFonts w:eastAsia="Times New Roman" w:ascii="Arial" w:hAnsi="Arial"/>
                <w:b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>разборную конструкцию и специальные места для подъема люльки ЛПСр вилочным погрузчиком.</w:t>
            </w:r>
            <w:r>
              <w:rPr>
                <w:rFonts w:eastAsia="Times New Roman" w:ascii="Arial" w:hAnsi="Arial"/>
                <w:color w:val="000000"/>
                <w:sz w:val="28"/>
                <w:szCs w:val="28"/>
                <w:lang w:eastAsia="ru-RU"/>
              </w:rPr>
              <w:t xml:space="preserve">  Э</w:t>
            </w:r>
            <w:r>
              <w:rPr>
                <w:rFonts w:eastAsia="Times New Roman" w:ascii="Arial" w:hAnsi="Arial"/>
                <w:color w:val="000000"/>
                <w:sz w:val="28"/>
                <w:szCs w:val="28"/>
                <w:lang w:val="ru-RU" w:eastAsia="ru-RU"/>
              </w:rPr>
              <w:t>то дает существенную экономию при транспортировке, в отличие от не разборных люлек и подъемных площадок.</w:t>
            </w:r>
          </w:p>
          <w:p>
            <w:pPr>
              <w:pStyle w:val="BodyText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340" w:start="510" w:end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eastAsia="Times New Roman" w:ascii="Arial" w:hAnsi="Arial"/>
                <w:color w:val="000000"/>
                <w:sz w:val="28"/>
                <w:szCs w:val="28"/>
                <w:lang w:eastAsia="ru-RU"/>
              </w:rPr>
              <w:t xml:space="preserve">Каждая </w:t>
            </w:r>
            <w:r>
              <w:rPr>
                <w:rFonts w:eastAsia="Times New Roman" w:ascii="Arial" w:hAnsi="Arial"/>
                <w:color w:val="000000"/>
                <w:sz w:val="28"/>
                <w:szCs w:val="28"/>
                <w:lang w:val="ru-RU" w:eastAsia="ru-RU"/>
              </w:rPr>
              <w:t>люлька</w:t>
            </w:r>
            <w:r>
              <w:rPr>
                <w:rFonts w:eastAsia="Times New Roman" w:ascii="Arial" w:hAnsi="Arial"/>
                <w:color w:val="000000"/>
                <w:sz w:val="28"/>
                <w:szCs w:val="28"/>
                <w:lang w:eastAsia="ru-RU"/>
              </w:rPr>
              <w:t xml:space="preserve"> после производства подвергается испытаниям с  </w:t>
            </w:r>
            <w:r>
              <w:rPr>
                <w:rFonts w:eastAsia="Times New Roman" w:ascii="Arial" w:hAnsi="Arial"/>
                <w:color w:val="000000"/>
                <w:sz w:val="28"/>
                <w:szCs w:val="28"/>
                <w:lang w:val="ru-RU" w:eastAsia="ru-RU"/>
              </w:rPr>
              <w:t>приложением нагрузки, превышающей нормативную на 100%</w:t>
            </w:r>
          </w:p>
          <w:p>
            <w:pPr>
              <w:pStyle w:val="BodyText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340" w:start="454" w:end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eastAsia="Andale Sans UI" w:cs="Tahoma" w:ascii="Arial" w:hAnsi="Arial"/>
                <w:b w:val="false"/>
                <w:bCs w:val="false"/>
                <w:color w:val="auto"/>
                <w:kern w:val="2"/>
                <w:sz w:val="28"/>
                <w:szCs w:val="28"/>
                <w:u w:val="none"/>
                <w:lang w:val="ru-RU" w:eastAsia="zxx" w:bidi="zxx"/>
              </w:rPr>
              <w:t>Люлька оснащена дверкой с замком, обеспечивающий безопасную эксплуатацию. А также имеются точки крепления СИЗ персонала, выполненные в виде петель расположенных на каркасе люльки.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340" w:start="454" w:end="0"/>
              <w:jc w:val="start"/>
              <w:rPr>
                <w:rFonts w:ascii="Arial" w:hAnsi="Arial" w:eastAsia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lang w:val="ru-RU" w:eastAsia="ru-RU"/>
              </w:rPr>
            </w:pPr>
            <w:r>
              <w:rPr>
                <w:rFonts w:eastAsia="Andale Sans UI" w:cs="Tahoma" w:ascii="Arial" w:hAnsi="Arial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2"/>
                <w:sz w:val="28"/>
                <w:szCs w:val="28"/>
                <w:u w:val="none"/>
                <w:lang w:val="ru-RU" w:eastAsia="zxx" w:bidi="zxx"/>
              </w:rPr>
              <w:t>Люлька пригодна для применения на различных объектах согласно приказа № 461 от   20.01.2020г.  Ростехнадзора.  И имеет сертификат (декларациию) соответствия.</w:t>
            </w:r>
          </w:p>
        </w:tc>
      </w:tr>
    </w:tbl>
    <w:p>
      <w:pPr>
        <w:pStyle w:val="BodyText"/>
        <w:spacing w:lineRule="auto" w:line="360" w:before="0" w:after="0"/>
        <w:jc w:val="both"/>
        <w:rPr>
          <w:rFonts w:ascii="Arial" w:hAnsi="Arial"/>
        </w:rPr>
      </w:pPr>
      <w:r>
        <w:rPr>
          <w:rFonts w:ascii="Arial" w:hAnsi="Arial"/>
          <w:b w:val="false"/>
          <w:bCs w:val="false"/>
          <w:sz w:val="24"/>
          <w:szCs w:val="24"/>
          <w:u w:val="none"/>
          <w:lang w:val="ru-RU"/>
        </w:rPr>
        <w:t xml:space="preserve"> </w:t>
      </w:r>
      <w:r>
        <w:rPr>
          <w:rFonts w:cs="Times New Roman" w:ascii="Arial" w:hAnsi="Arial"/>
          <w:sz w:val="28"/>
          <w:szCs w:val="28"/>
          <w:lang w:val="ru-RU"/>
        </w:rPr>
        <w:t xml:space="preserve"> </w:t>
      </w:r>
    </w:p>
    <w:tbl>
      <w:tblPr>
        <w:tblW w:w="10644" w:type="dxa"/>
        <w:jc w:val="start"/>
        <w:tblInd w:w="433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247"/>
        <w:gridCol w:w="4541"/>
        <w:gridCol w:w="2856"/>
      </w:tblGrid>
      <w:tr>
        <w:trPr/>
        <w:tc>
          <w:tcPr>
            <w:tcW w:w="1064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  <w:szCs w:val="28"/>
                <w:u w:val="none"/>
              </w:rPr>
              <w:t xml:space="preserve">Технические характеристики </w:t>
            </w:r>
            <w:r>
              <w:rPr>
                <w:rFonts w:ascii="Arial" w:hAnsi="Arial"/>
                <w:b/>
                <w:sz w:val="28"/>
                <w:szCs w:val="28"/>
                <w:u w:val="none"/>
                <w:lang w:val="ru-RU"/>
              </w:rPr>
              <w:t xml:space="preserve">площадки </w:t>
            </w:r>
            <w:r>
              <w:rPr>
                <w:rFonts w:ascii="Arial" w:hAnsi="Arial"/>
                <w:b/>
                <w:sz w:val="28"/>
                <w:szCs w:val="28"/>
                <w:u w:val="none"/>
                <w:lang w:val="ru-RU"/>
              </w:rPr>
              <w:t>Л</w:t>
            </w:r>
            <w:r>
              <w:rPr>
                <w:rFonts w:ascii="Arial" w:hAnsi="Arial"/>
                <w:b/>
                <w:sz w:val="28"/>
                <w:szCs w:val="28"/>
                <w:u w:val="none"/>
                <w:lang w:val="ru-RU"/>
              </w:rPr>
              <w:t>ПСР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Характеристики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Единица измерения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Фактически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Грузоподъёмность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Человек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Два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Полезная нагрузка, макс.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кг.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350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 xml:space="preserve">Масса 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кг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val="ru-RU"/>
              </w:rPr>
              <w:t>165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Длина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мм.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hd w:fill="auto" w:val="clear"/>
              </w:rPr>
              <w:t>2500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Ширина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мм.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highlight w:val="none"/>
                <w:shd w:fill="auto" w:val="clear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shd w:fill="auto" w:val="clear"/>
                <w:lang w:val="ru-RU"/>
              </w:rPr>
              <w:t>640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Высота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мм.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highlight w:val="none"/>
                <w:shd w:fill="auto" w:val="clear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shd w:fill="auto" w:val="clear"/>
                <w:lang w:val="ru-RU"/>
              </w:rPr>
              <w:t>2140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Высота ограждения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мм.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hd w:fill="auto" w:val="clear"/>
              </w:rPr>
              <w:t>640</w:t>
            </w:r>
          </w:p>
        </w:tc>
      </w:tr>
      <w:tr>
        <w:trPr/>
        <w:tc>
          <w:tcPr>
            <w:tcW w:w="324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Ширина рабочей зоны</w:t>
            </w:r>
          </w:p>
        </w:tc>
        <w:tc>
          <w:tcPr>
            <w:tcW w:w="454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мм</w:t>
            </w:r>
          </w:p>
        </w:tc>
        <w:tc>
          <w:tcPr>
            <w:tcW w:w="28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highlight w:val="none"/>
                <w:shd w:fill="auto" w:val="clear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shd w:fill="auto" w:val="clear"/>
                <w:lang w:val="ru-RU"/>
              </w:rPr>
              <w:t>580</w:t>
            </w:r>
          </w:p>
        </w:tc>
      </w:tr>
      <w:tr>
        <w:trPr/>
        <w:tc>
          <w:tcPr>
            <w:tcW w:w="10644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Комплектация: Люлька в разобранном виде, Паспорт и инструкция по эксплуатации, Сертификат (декларация) соответствия.</w:t>
            </w:r>
          </w:p>
        </w:tc>
      </w:tr>
    </w:tbl>
    <w:p>
      <w:pPr>
        <w:pStyle w:val="BodyText"/>
        <w:widowControl w:val="false"/>
        <w:suppressAutoHyphens w:val="true"/>
        <w:overflowPunct w:val="true"/>
        <w:bidi w:val="0"/>
        <w:spacing w:lineRule="auto" w:line="240" w:before="0" w:after="0"/>
        <w:ind w:hanging="0" w:start="454" w:end="0"/>
        <w:jc w:val="both"/>
        <w:rPr>
          <w:lang w:val="ru-RU"/>
        </w:rPr>
      </w:pPr>
      <w:r>
        <w:rPr>
          <w:lang w:val="ru-RU"/>
        </w:rPr>
      </w:r>
    </w:p>
    <w:p>
      <w:pPr>
        <w:pStyle w:val="BodyText"/>
        <w:widowControl w:val="false"/>
        <w:suppressAutoHyphens w:val="true"/>
        <w:overflowPunct w:val="true"/>
        <w:bidi w:val="0"/>
        <w:spacing w:lineRule="auto" w:line="240" w:before="0" w:after="0"/>
        <w:ind w:hanging="0" w:start="454" w:end="0"/>
        <w:jc w:val="both"/>
        <w:rPr>
          <w:lang w:val="ru-RU"/>
        </w:rPr>
      </w:pPr>
      <w:r>
        <w:rPr>
          <w:lang w:val="ru-RU"/>
        </w:rPr>
      </w:r>
    </w:p>
    <w:p>
      <w:pPr>
        <w:pStyle w:val="BodyText"/>
        <w:widowControl w:val="false"/>
        <w:suppressAutoHyphens w:val="true"/>
        <w:overflowPunct w:val="true"/>
        <w:bidi w:val="0"/>
        <w:spacing w:lineRule="auto" w:line="240" w:before="0" w:after="0"/>
        <w:ind w:hanging="0" w:start="454" w:end="0"/>
        <w:jc w:val="both"/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ru-RU"/>
        </w:rPr>
        <w:t>Для подвески люльки на крюк крана, необходим строп канатный или цепной, данный строп разрешено использовать только вместе с люлькой,  использование для других целей запрещено. Строп приобретается отдельно.</w:t>
      </w:r>
    </w:p>
    <w:p>
      <w:pPr>
        <w:pStyle w:val="BodyText"/>
        <w:widowControl w:val="false"/>
        <w:suppressAutoHyphens w:val="true"/>
        <w:overflowPunct w:val="true"/>
        <w:bidi w:val="0"/>
        <w:spacing w:lineRule="auto" w:line="240" w:before="0" w:after="0"/>
        <w:ind w:hanging="0" w:start="454" w:end="0"/>
        <w:jc w:val="both"/>
        <w:rPr>
          <w:lang w:val="ru-RU"/>
        </w:rPr>
      </w:pPr>
      <w:r>
        <w:rPr>
          <w:lang w:val="ru-RU"/>
        </w:rPr>
      </w:r>
    </w:p>
    <w:tbl>
      <w:tblPr>
        <w:tblW w:w="10716" w:type="dxa"/>
        <w:jc w:val="start"/>
        <w:tblInd w:w="36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76"/>
        <w:gridCol w:w="3909"/>
        <w:gridCol w:w="1299"/>
        <w:gridCol w:w="2268"/>
        <w:gridCol w:w="2664"/>
      </w:tblGrid>
      <w:tr>
        <w:trPr/>
        <w:tc>
          <w:tcPr>
            <w:tcW w:w="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  <w:t>№</w:t>
            </w:r>
          </w:p>
        </w:tc>
        <w:tc>
          <w:tcPr>
            <w:tcW w:w="3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  <w:t>Наименование</w:t>
            </w:r>
          </w:p>
        </w:tc>
        <w:tc>
          <w:tcPr>
            <w:tcW w:w="12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  <w:t>Количество/ед.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  <w:t>Цена за 1 шт с НДС</w:t>
            </w:r>
          </w:p>
        </w:tc>
        <w:tc>
          <w:tcPr>
            <w:tcW w:w="26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972F" w:val="clear"/>
          </w:tcPr>
          <w:p>
            <w:pPr>
              <w:pStyle w:val="BodyText"/>
              <w:spacing w:lineRule="auto" w:line="240" w:before="0" w:after="0"/>
              <w:jc w:val="center"/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  <w:lang w:val="ru-RU"/>
              </w:rPr>
              <w:t>Сумма с НДС</w:t>
            </w:r>
          </w:p>
        </w:tc>
      </w:tr>
      <w:tr>
        <w:trPr/>
        <w:tc>
          <w:tcPr>
            <w:tcW w:w="5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  <w:t>1</w:t>
            </w:r>
          </w:p>
        </w:tc>
        <w:tc>
          <w:tcPr>
            <w:tcW w:w="39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  <w:t>Люлька ЛПСр - 350/2</w:t>
            </w:r>
          </w:p>
        </w:tc>
        <w:tc>
          <w:tcPr>
            <w:tcW w:w="12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  <w:t>1</w:t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6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5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39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Строп для крепления площадки на крюке крана.</w:t>
            </w:r>
          </w:p>
        </w:tc>
        <w:tc>
          <w:tcPr>
            <w:tcW w:w="12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  <w:t>1</w:t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6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</w:r>
          </w:p>
        </w:tc>
      </w:tr>
      <w:tr>
        <w:trPr/>
        <w:tc>
          <w:tcPr>
            <w:tcW w:w="8052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val="ru-RU"/>
              </w:rPr>
              <w:t>ИТОГО рублей с НДС:</w:t>
            </w:r>
          </w:p>
        </w:tc>
        <w:tc>
          <w:tcPr>
            <w:tcW w:w="266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0716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Условия доставки оборудования: Доставка до терминала ТК в г. Самара.</w:t>
            </w:r>
          </w:p>
        </w:tc>
      </w:tr>
      <w:tr>
        <w:trPr/>
        <w:tc>
          <w:tcPr>
            <w:tcW w:w="10716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Условия поставки: в наличии.</w:t>
            </w:r>
          </w:p>
        </w:tc>
      </w:tr>
      <w:tr>
        <w:trPr/>
        <w:tc>
          <w:tcPr>
            <w:tcW w:w="10716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Гарантийные обязательства:  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lang w:val="ru-RU"/>
              </w:rPr>
              <w:t>12 месяцев с момента отгрузки товара покупателю.</w:t>
            </w:r>
          </w:p>
        </w:tc>
      </w:tr>
      <w:tr>
        <w:trPr/>
        <w:tc>
          <w:tcPr>
            <w:tcW w:w="10716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star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Срок действия предложения:  В течении 10 рабочих дней.</w:t>
            </w:r>
          </w:p>
        </w:tc>
      </w:tr>
      <w:tr>
        <w:trPr/>
        <w:tc>
          <w:tcPr>
            <w:tcW w:w="10716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pacing w:lineRule="auto" w:line="240" w:before="0" w:after="0"/>
              <w:jc w:val="start"/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</w:rPr>
              <w:t xml:space="preserve">Форма оплаты: предоплата в размере 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lang w:val="en-US"/>
              </w:rPr>
              <w:t>100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</w:rPr>
              <w:t>%</w:t>
            </w:r>
          </w:p>
        </w:tc>
      </w:tr>
    </w:tbl>
    <w:p>
      <w:pPr>
        <w:pStyle w:val="Normal"/>
        <w:widowControl w:val="false"/>
        <w:suppressAutoHyphens w:val="true"/>
        <w:overflowPunct w:val="true"/>
        <w:bidi w:val="0"/>
        <w:spacing w:lineRule="auto" w:line="240" w:before="0" w:after="0"/>
        <w:ind w:hanging="0" w:start="454" w:end="0"/>
        <w:jc w:val="both"/>
        <w:rPr>
          <w:lang w:val="ru-RU"/>
        </w:rPr>
      </w:pPr>
      <w:r>
        <w:rPr>
          <w:lang w:val="ru-RU"/>
        </w:rPr>
      </w:r>
    </w:p>
    <w:tbl>
      <w:tblPr>
        <w:tblW w:w="10656" w:type="dxa"/>
        <w:jc w:val="start"/>
        <w:tblInd w:w="426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0656"/>
      </w:tblGrid>
      <w:tr>
        <w:trPr/>
        <w:tc>
          <w:tcPr>
            <w:tcW w:w="10656" w:type="dxa"/>
            <w:tcBorders/>
          </w:tcPr>
          <w:p>
            <w:pPr>
              <w:pStyle w:val="Style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BodyText"/>
        <w:spacing w:lineRule="auto" w:line="360" w:before="0" w:after="0"/>
        <w:jc w:val="end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360" w:before="0" w:after="0"/>
        <w:jc w:val="end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360" w:before="0" w:after="0"/>
        <w:jc w:val="end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360" w:before="0" w:after="0"/>
        <w:jc w:val="start"/>
        <w:rPr>
          <w:rFonts w:ascii="Arial" w:hAnsi="Arial"/>
          <w:b/>
          <w:sz w:val="24"/>
          <w:szCs w:val="24"/>
          <w:u w:val="single"/>
          <w:lang w:val="ru-RU"/>
        </w:rPr>
      </w:pPr>
      <w:r>
        <w:rPr>
          <w:rFonts w:ascii="Arial" w:hAnsi="Arial"/>
          <w:b/>
          <w:sz w:val="24"/>
          <w:szCs w:val="24"/>
          <w:u w:val="single"/>
          <w:lang w:val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030085" cy="4973320"/>
            <wp:effectExtent l="0" t="0" r="0" b="0"/>
            <wp:wrapSquare wrapText="largest"/>
            <wp:docPr id="3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497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start"/>
        <w:rPr>
          <w:rFonts w:ascii="Arial" w:hAnsi="Arial"/>
        </w:rPr>
      </w:pPr>
      <w:r>
        <w:rPr>
          <w:rFonts w:cs="Calibri" w:ascii="Arial" w:hAnsi="Arial"/>
          <w:b/>
          <w:sz w:val="24"/>
          <w:szCs w:val="24"/>
        </w:rPr>
        <w:t xml:space="preserve"> 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160"/>
        <w:gridCol w:w="3587"/>
        <w:gridCol w:w="3324"/>
      </w:tblGrid>
      <w:tr>
        <w:trPr>
          <w:trHeight w:val="2442" w:hRule="atLeast"/>
        </w:trPr>
        <w:tc>
          <w:tcPr>
            <w:tcW w:w="4160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sz w:val="28"/>
                <w:szCs w:val="28"/>
              </w:rPr>
              <w:t>Директор ООО «ПК «СТС»</w:t>
            </w:r>
          </w:p>
        </w:tc>
        <w:tc>
          <w:tcPr>
            <w:tcW w:w="3587" w:type="dxa"/>
            <w:tcBorders/>
          </w:tcPr>
          <w:p>
            <w:pPr>
              <w:pStyle w:val="Style20"/>
              <w:bidi w:val="0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955165" cy="1555750"/>
                  <wp:effectExtent l="0" t="0" r="0" b="0"/>
                  <wp:wrapSquare wrapText="largest"/>
                  <wp:docPr id="4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165" cy="155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4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sz w:val="28"/>
                <w:szCs w:val="28"/>
              </w:rPr>
              <w:t>Комаров С.Ю</w:t>
            </w:r>
          </w:p>
        </w:tc>
      </w:tr>
    </w:tbl>
    <w:p>
      <w:pPr>
        <w:pStyle w:val="Normal"/>
        <w:tabs>
          <w:tab w:val="clear" w:pos="706"/>
          <w:tab w:val="left" w:pos="1900" w:leader="none"/>
        </w:tabs>
        <w:jc w:val="start"/>
        <w:rPr>
          <w:rFonts w:ascii="Arial" w:hAnsi="Arial"/>
          <w:b/>
          <w:bCs/>
          <w:sz w:val="28"/>
          <w:szCs w:val="28"/>
          <w:lang w:val="ru-RU"/>
        </w:rPr>
      </w:pPr>
      <w:r>
        <w:rPr>
          <w:rFonts w:ascii="Arial" w:hAnsi="Arial"/>
          <w:b/>
          <w:bCs/>
          <w:sz w:val="28"/>
          <w:szCs w:val="28"/>
          <w:lang w:val="ru-RU"/>
        </w:rPr>
      </w:r>
    </w:p>
    <w:p>
      <w:pPr>
        <w:pStyle w:val="2"/>
        <w:tabs>
          <w:tab w:val="clear" w:pos="706"/>
          <w:tab w:val="left" w:pos="1900" w:leader="none"/>
        </w:tabs>
        <w:spacing w:lineRule="auto" w:line="240" w:before="0" w:after="0"/>
        <w:jc w:val="start"/>
        <w:rPr>
          <w:rFonts w:ascii="Arial" w:hAnsi="Arial"/>
        </w:rPr>
      </w:pPr>
      <w:r>
        <w:rPr>
          <w:rFonts w:ascii="Arial" w:hAnsi="Arial"/>
          <w:b w:val="false"/>
          <w:bCs w:val="false"/>
          <w:sz w:val="24"/>
          <w:szCs w:val="24"/>
          <w:lang w:val="ru-RU"/>
        </w:rPr>
        <w:t>Исп. Стерляхин Сергей Анатольевич</w:t>
      </w:r>
    </w:p>
    <w:p>
      <w:pPr>
        <w:pStyle w:val="2"/>
        <w:tabs>
          <w:tab w:val="clear" w:pos="706"/>
          <w:tab w:val="left" w:pos="1900" w:leader="none"/>
        </w:tabs>
        <w:spacing w:lineRule="auto" w:line="240" w:before="0" w:after="0"/>
        <w:jc w:val="start"/>
        <w:rPr>
          <w:rFonts w:ascii="Arial" w:hAnsi="Arial"/>
        </w:rPr>
      </w:pPr>
      <w:r>
        <w:rPr>
          <w:rFonts w:ascii="Arial" w:hAnsi="Arial"/>
          <w:b w:val="false"/>
          <w:bCs w:val="false"/>
          <w:sz w:val="22"/>
          <w:szCs w:val="22"/>
          <w:lang w:val="ru-RU"/>
        </w:rPr>
        <w:t>+7(846)262-49-02(03)</w:t>
      </w:r>
    </w:p>
    <w:sectPr>
      <w:type w:val="nextPage"/>
      <w:pgSz w:w="11906" w:h="16838"/>
      <w:pgMar w:left="450" w:right="385" w:gutter="0" w:header="0" w:top="375" w:footer="0" w:bottom="397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ymbo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Wingdings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true"/>
  <w:hyphenationZone w:val="36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de-DE" w:eastAsia="ja-JP" w:bidi="fa-IR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character" w:styleId="Style14">
    <w:name w:val="Основной шрифт абзаца"/>
    <w:qFormat/>
    <w:rPr/>
  </w:style>
  <w:style w:type="character" w:styleId="Hyperlink">
    <w:name w:val="Hyperlink"/>
    <w:basedOn w:val="Style14"/>
    <w:rPr>
      <w:color w:val="0000FF"/>
      <w:u w:val="single"/>
    </w:rPr>
  </w:style>
  <w:style w:type="character" w:styleId="WW8Num2z0">
    <w:name w:val="WW8Num2z0"/>
    <w:qFormat/>
    <w:rPr/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8">
    <w:name w:val="Колонтитулы"/>
    <w:basedOn w:val="Normal"/>
    <w:qFormat/>
    <w:pPr/>
    <w:rPr/>
  </w:style>
  <w:style w:type="paragraph" w:styleId="Style19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6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2">
    <w:name w:val="Основной текст 2"/>
    <w:basedOn w:val="Normal"/>
    <w:qFormat/>
    <w:pPr>
      <w:spacing w:lineRule="auto" w:line="480" w:before="0" w:after="120"/>
    </w:pPr>
    <w:rPr/>
  </w:style>
  <w:style w:type="paragraph" w:styleId="Style22">
    <w:name w:val="Блочная цитата"/>
    <w:basedOn w:val="Normal"/>
    <w:qFormat/>
    <w:pPr>
      <w:spacing w:before="0" w:after="283"/>
      <w:ind w:hanging="0" w:start="567" w:end="567"/>
    </w:pPr>
    <w:rPr/>
  </w:style>
  <w:style w:type="paragraph" w:styleId="Style23">
    <w:name w:val="Текст в заданном формате"/>
    <w:basedOn w:val="Normal"/>
    <w:qFormat/>
    <w:pPr>
      <w:spacing w:before="0" w:after="0"/>
    </w:pPr>
    <w:rPr>
      <w:rFonts w:ascii="Courier New" w:hAnsi="Courier New" w:eastAsia="MS PGothic" w:cs="Courier New"/>
      <w:sz w:val="20"/>
      <w:szCs w:val="20"/>
    </w:rPr>
  </w:style>
  <w:style w:type="paragraph" w:styleId="Default">
    <w:name w:val="Default"/>
    <w:basedOn w:val="Normal"/>
    <w:qFormat/>
    <w:pPr>
      <w:jc w:val="start"/>
    </w:pPr>
    <w:rPr>
      <w:rFonts w:ascii="Times New Roman;Times New Roman" w:hAnsi="Times New Roman;Times New Roman" w:eastAsia="Times New Roman;Times New Roman" w:cs="Times New Roman;Times New Roman"/>
      <w:color w:val="000000"/>
      <w:sz w:val="24"/>
      <w:szCs w:val="24"/>
      <w:lang w:val="de-DE" w:eastAsia="ja-JP" w:bidi="fa-IR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lineRule="auto" w:line="247" w:before="0" w:after="160"/>
      <w:jc w:val="start"/>
      <w:textAlignment w:val="baseline"/>
    </w:pPr>
    <w:rPr>
      <w:rFonts w:ascii="Calibri" w:hAnsi="Calibri" w:eastAsia="SimSun" w:cs="Calibri"/>
      <w:color w:val="auto"/>
      <w:kern w:val="2"/>
      <w:sz w:val="24"/>
      <w:szCs w:val="24"/>
      <w:lang w:val="de-DE" w:eastAsia="ja-JP" w:bidi="fa-IR"/>
    </w:rPr>
  </w:style>
  <w:style w:type="paragraph" w:styleId="Textbody">
    <w:name w:val="Text body"/>
    <w:basedOn w:val="Standard"/>
    <w:qFormat/>
    <w:pPr>
      <w:spacing w:lineRule="auto" w:line="240" w:before="0" w:after="120"/>
    </w:pPr>
    <w:rPr/>
  </w:style>
  <w:style w:type="numbering" w:styleId="WW8Num2">
    <w:name w:val="WW8Num2"/>
    <w:qFormat/>
  </w:style>
  <w:style w:type="numbering" w:styleId="WW8Num32">
    <w:name w:val="WW8Num3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bmp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1150</TotalTime>
  <Application>LibreOffice/26.2.1.2$Windows_X86_64 LibreOffice_project/620$Build-2</Application>
  <AppVersion>15.0000</AppVersion>
  <Pages>3</Pages>
  <Words>301</Words>
  <Characters>1994</Characters>
  <CharactersWithSpaces>2365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2026-03-04T17:21:54Z</cp:lastPrinted>
  <dcterms:modified xsi:type="dcterms:W3CDTF">2026-04-08T10:49:37Z</dcterms:modified>
  <cp:revision>145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